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40" w:lineRule="exact"/>
        <w:jc w:val="left"/>
        <w:rPr>
          <w:rFonts w:ascii="黑体" w:eastAsia="黑体" w:cs="黑体"/>
          <w:color w:val="000000"/>
          <w:sz w:val="30"/>
          <w:szCs w:val="30"/>
        </w:rPr>
      </w:pPr>
      <w:r>
        <w:rPr>
          <w:rFonts w:ascii="黑体" w:eastAsia="黑体" w:cs="黑体" w:hint="eastAsia"/>
          <w:color w:val="000000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after="313" w:line="590" w:lineRule="exact"/>
        <w:jc w:val="center"/>
        <w:textAlignment w:val="auto"/>
        <w:rPr>
          <w:rFonts w:ascii="方正小标宋_GBK" w:eastAsia="方正小标宋_GBK" w:cs="方正小标宋_GBK" w:hint="eastAsia"/>
          <w:sz w:val="40"/>
          <w:szCs w:val="40"/>
        </w:rPr>
      </w:pPr>
      <w:r>
        <w:rPr>
          <w:rFonts w:ascii="方正小标宋_GBK" w:eastAsia="方正小标宋_GBK" w:cs="方正小标宋_GBK" w:hint="eastAsia"/>
          <w:sz w:val="40"/>
          <w:szCs w:val="40"/>
        </w:rPr>
        <w:t>海南省创新型省份建设指标</w:t>
      </w:r>
    </w:p>
    <w:tbl>
      <w:tblPr>
        <w:jc w:val="center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68"/>
        <w:gridCol w:w="796"/>
        <w:gridCol w:w="675"/>
        <w:gridCol w:w="4594"/>
        <w:gridCol w:w="1002"/>
        <w:gridCol w:w="932"/>
      </w:tblGrid>
      <w:tr>
        <w:trPr>
          <w:trHeight w:hRule="exact" w:val="809"/>
          <w:tblHeader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黑体"/>
                <w:b w:val="0"/>
                <w:bCs w:val="0"/>
                <w:color w:val="auto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黑体"/>
                <w:b w:val="0"/>
                <w:bCs w:val="0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黑体"/>
                <w:b w:val="0"/>
                <w:bCs w:val="0"/>
                <w:color w:val="auto"/>
                <w:sz w:val="24"/>
                <w:szCs w:val="24"/>
              </w:rPr>
              <w:t>二级指标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黑体"/>
                <w:b w:val="0"/>
                <w:bCs w:val="0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eastAsia="黑体"/>
                <w:b w:val="0"/>
                <w:bCs w:val="0"/>
                <w:color w:val="auto"/>
                <w:sz w:val="24"/>
                <w:szCs w:val="24"/>
              </w:rPr>
              <w:t>目标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年均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黑体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黑体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增速</w:t>
            </w:r>
          </w:p>
        </w:tc>
      </w:tr>
      <w:tr>
        <w:trPr>
          <w:trHeight w:hRule="exact" w:val="510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竞争力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创新实力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综合科技进步水平指数（%）*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11"/>
                <w:sz w:val="24"/>
                <w:szCs w:val="24"/>
              </w:rPr>
              <w:t>全社会研发经费支出占地区生产总值的比重（%）*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1.6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19.3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规模以上工业企业设立研发机构覆盖率（%）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100" w:firstLine="240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&gt;50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&gt;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41.8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企业创新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高新技术企业数量（家）*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3000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科技型中小企业入库数量（家）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3000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62.4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专精特新“小巨人”企业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（个）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国家级和省级企业技术中心数量（个）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产业创新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高新技术产业产值（亿元）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8000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39.7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6"/>
                <w:sz w:val="24"/>
                <w:szCs w:val="24"/>
              </w:rPr>
              <w:t>高新技术产业增加值占地区生产总值比重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%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重点园区年营业收入（亿元）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12000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15.6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“陆海空”领域创新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种业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种质资源信息存储量（万份）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11"/>
                <w:sz w:val="24"/>
                <w:szCs w:val="24"/>
                <w:lang w:eastAsia="zh-CN"/>
              </w:rPr>
              <w:t>全国育成农作物新品种经过南繁的比重（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11"/>
                <w:sz w:val="24"/>
                <w:szCs w:val="24"/>
                <w:lang w:val="en-US" w:eastAsia="zh-CN"/>
              </w:rPr>
              <w:t>%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1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&gt;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759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生物育种专区培育新一代生物品种占全国的比重（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&gt;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深海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国际先进的大型深海装备集群（个）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累计组织深海科考航次（次）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累计转化重大原创深海技术（项）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航天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运载火箭年生产能力（发）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510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小卫星年批量生产能力（颗）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99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能力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创新人才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每十万人口高等教育在学人数（人）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3000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每万名就业人员中研发人员（人年）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24.7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高层次人才总量（人）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50000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41.3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创新载体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pacing w:val="-11"/>
                <w:sz w:val="24"/>
                <w:szCs w:val="24"/>
              </w:rPr>
              <w:t>国家级和省级重点实验室、技术创新中心数量（个）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院士工作站（家）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849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科技企业孵化器、众创空间、大学科技园等各类创新创业载体数量（个）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 w:val="restart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成效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每万人发明专利拥有量（件）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6.2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技术合同成交额（亿元）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累计转移转化新药品种（个）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37.9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公民具备基本科学素质的比例（%）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11.5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细颗粒物（PM2.5）浓度（微克/立方米）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人均预期寿命（岁）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全省5G网络用户普及率（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%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新能源汽车保有量占比（%）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20左右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农业科技进步贡献效率（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482"/>
        </w:trPr>
        <w:tc>
          <w:tcPr>
            <w:tcW w:w="968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省内高校留琼就业比率（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%</w:t>
            </w: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--</w:t>
            </w:r>
          </w:p>
        </w:tc>
      </w:tr>
      <w:tr>
        <w:trPr>
          <w:trHeight w:hRule="exact" w:val="796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生态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创新服务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科技成果转化、企业研发费用加计扣除等普惠性创新政策落实情况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rPr>
          <w:trHeight w:hRule="exact" w:val="673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创新政策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党委、政府出台实施创新驱动发展战略的决定或意见及配套政策*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rPr>
          <w:trHeight w:hRule="exact" w:val="730"/>
        </w:trPr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创新环境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拥有能抓创新、会抓创新、抓好创新的科技管理队伍*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rPr>
          <w:trHeight w:hRule="exact" w:val="123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区域创新特色优势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开放指标</w:t>
            </w:r>
          </w:p>
        </w:tc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海南国际离岸创新创业示范区建设成效，与“一带一路”国家、地区、粤港澳大湾区和国内重点省市的科技合作成效，创新发展水平和创新特色优势获得社会的普遍认可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楷体_GB2312" w:eastAsia="楷体_GB2312" w:cs="仿宋_GB2312" w:hint="eastAsia"/>
          <w:sz w:val="24"/>
          <w:szCs w:val="24"/>
        </w:rPr>
        <w:t>备注：</w:t>
      </w:r>
      <w:r>
        <w:rPr>
          <w:rFonts w:ascii="楷体_GB2312" w:eastAsia="楷体_GB2312" w:cs="仿宋_GB2312" w:hint="eastAsia"/>
          <w:sz w:val="24"/>
          <w:szCs w:val="24"/>
          <w:lang w:val="en-US" w:eastAsia="zh-CN"/>
        </w:rPr>
        <w:t>1.</w:t>
      </w:r>
      <w:r>
        <w:rPr>
          <w:rFonts w:ascii="楷体_GB2312" w:eastAsia="楷体_GB2312" w:cs="仿宋_GB2312" w:hint="eastAsia"/>
          <w:sz w:val="24"/>
          <w:szCs w:val="24"/>
        </w:rPr>
        <w:t>目标数据为2025年数据。</w:t>
      </w:r>
      <w:r>
        <w:rPr>
          <w:rFonts w:ascii="楷体_GB2312" w:eastAsia="楷体_GB2312" w:cs="仿宋_GB2312" w:hint="eastAsia"/>
          <w:sz w:val="24"/>
          <w:szCs w:val="24"/>
          <w:lang w:val="en-US" w:eastAsia="zh-CN"/>
        </w:rPr>
        <w:t>2.</w:t>
      </w:r>
      <w:r>
        <w:rPr>
          <w:rFonts w:ascii="楷体_GB2312" w:eastAsia="楷体_GB2312" w:cs="仿宋_GB2312" w:hint="eastAsia"/>
          <w:sz w:val="24"/>
          <w:szCs w:val="24"/>
        </w:rPr>
        <w:t>加注*的指标为创新型省份建设考核指标。</w:t>
      </w:r>
    </w:p>
    <w:p>
      <w:pPr>
        <w:spacing w:line="560" w:lineRule="exact"/>
        <w:jc w:val="both"/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</w:pPr>
    </w:p>
    <w:sectPr>
      <w:footerReference w:type="default" r:id="rId2"/>
      <w:footerReference w:type="even" r:id="rId3"/>
      <w:pgSz w:w="11901" w:h="16840"/>
      <w:pgMar w:top="1928" w:right="1531" w:bottom="1701" w:left="1531" w:header="0" w:footer="1247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永中宋体">
    <w:altName w:val="方正书宋_GBK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in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永中宋体" w:eastAsia="永中宋体" w:hint="eastAsia"/>
        <w:sz w:val="28"/>
        <w:szCs w:val="28"/>
      </w:rPr>
    </w:pPr>
    <w:r>
      <w:rPr>
        <w:rStyle w:val="17"/>
        <w:rFonts w:ascii="永中宋体" w:eastAsia="永中宋体"/>
        <w:sz w:val="28"/>
        <w:szCs w:val="28"/>
      </w:rPr>
      <w:t xml:space="preserve">— </w:t>
    </w:r>
    <w:r>
      <w:rPr>
        <w:rStyle w:val="17"/>
        <w:rFonts w:ascii="永中宋体" w:eastAsia="永中宋体" w:hint="eastAsia"/>
        <w:sz w:val="28"/>
        <w:szCs w:val="28"/>
      </w:rPr>
      <w:fldChar w:fldCharType="begin"/>
    </w:r>
    <w:r>
      <w:rPr>
        <w:rStyle w:val="17"/>
        <w:rFonts w:ascii="永中宋体" w:eastAsia="永中宋体" w:hint="eastAsia"/>
        <w:sz w:val="28"/>
        <w:szCs w:val="28"/>
      </w:rPr>
      <w:instrText>Page</w:instrText>
    </w:r>
    <w:r>
      <w:rPr>
        <w:rStyle w:val="17"/>
        <w:rFonts w:ascii="永中宋体" w:eastAsia="永中宋体" w:hint="eastAsia"/>
        <w:sz w:val="28"/>
        <w:szCs w:val="28"/>
      </w:rPr>
      <w:fldChar w:fldCharType="separate"/>
    </w:r>
    <w:r>
      <w:rPr>
        <w:rStyle w:val="17"/>
        <w:rFonts w:ascii="永中宋体" w:eastAsia="永中宋体" w:hint="eastAsia"/>
        <w:sz w:val="28"/>
        <w:szCs w:val="28"/>
      </w:rPr>
      <w:t>1</w:t>
    </w:r>
    <w:r>
      <w:rPr>
        <w:rStyle w:val="17"/>
        <w:rFonts w:ascii="永中宋体" w:eastAsia="永中宋体" w:hint="eastAsia"/>
        <w:sz w:val="28"/>
        <w:szCs w:val="28"/>
      </w:rPr>
      <w:fldChar w:fldCharType="end"/>
    </w:r>
    <w:r>
      <w:rPr>
        <w:rStyle w:val="17"/>
        <w:rFonts w:ascii="永中宋体" w:eastAsia="永中宋体"/>
        <w:sz w:val="28"/>
        <w:szCs w:val="28"/>
      </w:rPr>
      <w:t>2 —</w:t>
    </w:r>
  </w:p>
  <w:p>
    <w:pPr>
      <w:pStyle w:val="15"/>
      <w:tabs>
        <w:tab w:val="center" w:pos="4153"/>
        <w:tab w:val="right" w:pos="8306"/>
      </w:tabs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in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永中宋体" w:eastAsia="永中宋体" w:hint="eastAsia"/>
        <w:sz w:val="28"/>
        <w:szCs w:val="28"/>
      </w:rPr>
    </w:pPr>
    <w:r>
      <w:rPr>
        <w:rStyle w:val="17"/>
        <w:rFonts w:ascii="永中宋体" w:eastAsia="永中宋体"/>
        <w:sz w:val="28"/>
        <w:szCs w:val="28"/>
      </w:rPr>
      <w:t>— 13 —</w:t>
    </w:r>
    <w:r>
      <w:rPr>
        <w:rStyle w:val="17"/>
        <w:rFonts w:ascii="永中宋体" w:eastAsia="永中宋体" w:hint="eastAsia"/>
        <w:sz w:val="28"/>
        <w:szCs w:val="28"/>
      </w:rPr>
      <w:fldChar w:fldCharType="begin"/>
    </w:r>
    <w:r>
      <w:rPr>
        <w:rStyle w:val="17"/>
        <w:rFonts w:ascii="永中宋体" w:eastAsia="永中宋体" w:hint="eastAsia"/>
        <w:sz w:val="28"/>
        <w:szCs w:val="28"/>
      </w:rPr>
      <w:instrText>Page</w:instrText>
    </w:r>
    <w:r>
      <w:rPr>
        <w:rStyle w:val="17"/>
        <w:rFonts w:ascii="永中宋体" w:eastAsia="永中宋体" w:hint="eastAsia"/>
        <w:sz w:val="28"/>
        <w:szCs w:val="28"/>
      </w:rPr>
      <w:fldChar w:fldCharType="separate"/>
    </w:r>
    <w:r>
      <w:rPr>
        <w:rStyle w:val="17"/>
        <w:rFonts w:ascii="永中宋体" w:eastAsia="永中宋体" w:hint="eastAsia"/>
        <w:sz w:val="28"/>
        <w:szCs w:val="28"/>
      </w:rPr>
      <w:fldChar w:fldCharType="end"/>
    </w:r>
  </w:p>
  <w:p>
    <w:pPr>
      <w:pStyle w:val="15"/>
      <w:tabs>
        <w:tab w:val="center" w:pos="4153"/>
        <w:tab w:val="right" w:pos="8306"/>
      </w:tabs>
      <w:ind w:right="360" w:firstLine="360"/>
      <w:jc w:val="right"/>
      <w:rPr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14117952</TotalTime>
  <Application>Yozo_Office</Application>
  <Pages>2</Pages>
  <Words>913</Words>
  <Characters>1028</Characters>
  <Lines>176</Lines>
  <Paragraphs>149</Paragraphs>
  <CharactersWithSpaces>1028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附件1</dc:title>
  <dc:creator>Administrator</dc:creator>
  <cp:lastModifiedBy>省府办发文员</cp:lastModifiedBy>
  <cp:revision>0</cp:revision>
  <dcterms:created xsi:type="dcterms:W3CDTF">2014-11-02T04:08:00Z</dcterms:created>
  <dcterms:modified xsi:type="dcterms:W3CDTF">2022-03-02T01:32:07Z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2052-11.8.2.10125</vt:lpwstr>
  </property>
</Properties>
</file>